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F0D08" w14:textId="2889DDAD" w:rsidR="00204259" w:rsidRPr="00167E46" w:rsidRDefault="00574C6C" w:rsidP="00204259">
      <w:pPr>
        <w:pStyle w:val="Puesto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Nowo</w:t>
      </w:r>
      <w:bookmarkStart w:id="0" w:name="_GoBack"/>
      <w:bookmarkEnd w:id="0"/>
      <w:r>
        <w:rPr>
          <w:sz w:val="48"/>
          <w:szCs w:val="48"/>
          <w:lang w:val="en-US"/>
        </w:rPr>
        <w:t>rodek wymagający PPV</w:t>
      </w:r>
    </w:p>
    <w:p w14:paraId="40BF9295" w14:textId="70E16481" w:rsidR="00E42DAD" w:rsidRDefault="00DC760A" w:rsidP="009408D9">
      <w:pPr>
        <w:spacing w:before="0"/>
        <w:rPr>
          <w:szCs w:val="22"/>
          <w:lang w:val="en-US"/>
        </w:rPr>
      </w:pPr>
      <w:r>
        <w:rPr>
          <w:b/>
          <w:szCs w:val="22"/>
          <w:lang w:val="en-US"/>
        </w:rPr>
        <w:t>Grupa docelowa</w:t>
      </w:r>
      <w:r w:rsidRPr="00167E46">
        <w:rPr>
          <w:szCs w:val="22"/>
          <w:lang w:val="en-US"/>
        </w:rPr>
        <w:t xml:space="preserve">: pracownicy służby zdrowia odpowiedzialni za porody i resuscytację noworodków </w:t>
      </w:r>
    </w:p>
    <w:p w14:paraId="7E697350" w14:textId="11D991FE" w:rsidR="00DC760A" w:rsidRPr="00167E46" w:rsidRDefault="00204259" w:rsidP="009408D9">
      <w:pPr>
        <w:spacing w:before="0"/>
        <w:rPr>
          <w:szCs w:val="22"/>
          <w:lang w:val="en-US"/>
        </w:rPr>
      </w:pPr>
      <w:r>
        <w:rPr>
          <w:b/>
          <w:szCs w:val="22"/>
          <w:lang w:val="en-US"/>
        </w:rPr>
        <w:t>Liczba</w:t>
      </w:r>
      <w:r w:rsidRPr="00167E46">
        <w:rPr>
          <w:szCs w:val="22"/>
          <w:lang w:val="en-US"/>
        </w:rPr>
        <w:t xml:space="preserve"> </w:t>
      </w:r>
      <w:r>
        <w:rPr>
          <w:b/>
          <w:szCs w:val="22"/>
          <w:lang w:val="en-US"/>
        </w:rPr>
        <w:t>uczestników</w:t>
      </w:r>
      <w:r w:rsidRPr="00167E46">
        <w:rPr>
          <w:szCs w:val="22"/>
          <w:lang w:val="en-US"/>
        </w:rPr>
        <w:t>: 1–2 uczestników</w:t>
      </w:r>
      <w:r>
        <w:rPr>
          <w:b/>
          <w:szCs w:val="22"/>
          <w:lang w:val="en-US"/>
        </w:rPr>
        <w:t xml:space="preserve"> Czas symulacji</w:t>
      </w:r>
      <w:r w:rsidR="00DC760A" w:rsidRPr="00167E46">
        <w:rPr>
          <w:szCs w:val="22"/>
          <w:lang w:val="en-US"/>
        </w:rPr>
        <w:t xml:space="preserve">: 10 minut </w:t>
      </w:r>
      <w:r>
        <w:rPr>
          <w:b/>
          <w:szCs w:val="22"/>
          <w:lang w:val="en-US"/>
        </w:rPr>
        <w:t>Czas podsumowania</w:t>
      </w:r>
      <w:r w:rsidR="00DC760A" w:rsidRPr="00167E46">
        <w:rPr>
          <w:szCs w:val="22"/>
          <w:lang w:val="en-US"/>
        </w:rPr>
        <w:t>: 15–20 minut</w:t>
      </w:r>
    </w:p>
    <w:p w14:paraId="164E6D2A" w14:textId="62519651" w:rsidR="00204259" w:rsidRPr="00E36DA9" w:rsidRDefault="00204259" w:rsidP="00204259">
      <w:pPr>
        <w:pStyle w:val="Ttulo1"/>
        <w:rPr>
          <w:lang w:val="es-PE"/>
        </w:rPr>
      </w:pPr>
      <w:r w:rsidRPr="00E36DA9">
        <w:rPr>
          <w:lang w:val="es-PE"/>
        </w:rPr>
        <w:t>Informacje o programie nauczania</w:t>
      </w:r>
    </w:p>
    <w:p w14:paraId="1156EBD9" w14:textId="0D9488BD" w:rsidR="000B4857" w:rsidRPr="00E36DA9" w:rsidRDefault="000B4857" w:rsidP="00204259">
      <w:pPr>
        <w:pStyle w:val="Ttulo2"/>
        <w:rPr>
          <w:lang w:val="es-PE"/>
        </w:rPr>
      </w:pPr>
      <w:r w:rsidRPr="00E36DA9">
        <w:rPr>
          <w:lang w:val="es-PE"/>
        </w:rPr>
        <w:t>Cele nauczania</w:t>
      </w:r>
    </w:p>
    <w:p w14:paraId="4EA2A52B" w14:textId="0D15B5DD" w:rsidR="000B4857" w:rsidRPr="00E36DA9" w:rsidRDefault="00AD7579" w:rsidP="00174D7E">
      <w:pPr>
        <w:spacing w:after="40"/>
        <w:rPr>
          <w:szCs w:val="22"/>
          <w:lang w:val="es-PE"/>
        </w:rPr>
      </w:pPr>
      <w:r w:rsidRPr="00E36DA9">
        <w:rPr>
          <w:szCs w:val="22"/>
          <w:lang w:val="es-PE"/>
        </w:rPr>
        <w:t>Po ukończeniu sesji symulacji i podsumowania uczestnicy będą potrafili:</w:t>
      </w:r>
    </w:p>
    <w:p w14:paraId="6A016BD9" w14:textId="490B615A" w:rsidR="00E30057" w:rsidRPr="00E36DA9" w:rsidRDefault="00E30057" w:rsidP="009408D9">
      <w:pPr>
        <w:pStyle w:val="Prrafodelista"/>
        <w:numPr>
          <w:ilvl w:val="0"/>
          <w:numId w:val="2"/>
        </w:numPr>
        <w:spacing w:before="0"/>
        <w:rPr>
          <w:rFonts w:eastAsia="Times New Roman" w:cs="Times New Roman"/>
          <w:color w:val="000000"/>
          <w:szCs w:val="22"/>
          <w:lang w:val="es-PE" w:eastAsia="da-DK"/>
        </w:rPr>
      </w:pPr>
      <w:r w:rsidRPr="00E36DA9">
        <w:rPr>
          <w:rFonts w:eastAsia="Times New Roman" w:cs="Times New Roman"/>
          <w:color w:val="000000"/>
          <w:szCs w:val="22"/>
          <w:lang w:val="es-PE" w:eastAsia="da-DK"/>
        </w:rPr>
        <w:t>Wykonać badanie wstępne noworodka i ustalić potrzebę wykonania resuscytacji zgodnie z miejscowymi wytycznymi</w:t>
      </w:r>
    </w:p>
    <w:p w14:paraId="3D0632AD" w14:textId="20ADBA53" w:rsidR="000B4857" w:rsidRPr="00E36DA9" w:rsidRDefault="00E30057" w:rsidP="009D07E8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es-PE" w:eastAsia="da-DK"/>
        </w:rPr>
      </w:pPr>
      <w:r w:rsidRPr="00E36DA9">
        <w:rPr>
          <w:rFonts w:eastAsia="Times New Roman" w:cs="Times New Roman"/>
          <w:color w:val="000000"/>
          <w:szCs w:val="22"/>
          <w:lang w:val="es-PE" w:eastAsia="da-DK"/>
        </w:rPr>
        <w:t>Ogrzać i osuszyć noworodka oraz ocenić skuteczność tych działań</w:t>
      </w:r>
    </w:p>
    <w:p w14:paraId="31D2DDA8" w14:textId="62C26AC1" w:rsidR="000B4857" w:rsidRPr="00E36DA9" w:rsidRDefault="00E30057" w:rsidP="000B48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es-PE" w:eastAsia="da-DK"/>
        </w:rPr>
      </w:pPr>
      <w:r w:rsidRPr="00E36DA9">
        <w:rPr>
          <w:rFonts w:eastAsia="Times New Roman" w:cs="Times New Roman"/>
          <w:color w:val="000000"/>
          <w:szCs w:val="22"/>
          <w:lang w:val="es-PE" w:eastAsia="da-DK"/>
        </w:rPr>
        <w:t>Ustalić potrzebę natychmiastowego wykonania wentylacji ciśnieniem dodatnim (PPV)</w:t>
      </w:r>
    </w:p>
    <w:p w14:paraId="18630DF2" w14:textId="578651C4" w:rsidR="00E30057" w:rsidRPr="00E36DA9" w:rsidRDefault="00E30057" w:rsidP="00E30057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es-PE" w:eastAsia="da-DK"/>
        </w:rPr>
      </w:pPr>
      <w:r w:rsidRPr="00E36DA9">
        <w:rPr>
          <w:rFonts w:eastAsia="Times New Roman" w:cs="Times New Roman"/>
          <w:color w:val="000000"/>
          <w:szCs w:val="22"/>
          <w:lang w:val="es-PE" w:eastAsia="da-DK"/>
        </w:rPr>
        <w:t>Wykonać natychmiastową wentylację ciśnieniem dodatnim oraz ocenić skuteczność tych działań, uzasadniając je na żądanie.</w:t>
      </w:r>
    </w:p>
    <w:p w14:paraId="76ADDB88" w14:textId="2A36B2E8" w:rsidR="00574B93" w:rsidRPr="00E36DA9" w:rsidRDefault="007F54AA" w:rsidP="00204259">
      <w:pPr>
        <w:pStyle w:val="Ttulo2"/>
        <w:rPr>
          <w:lang w:val="es-PE"/>
        </w:rPr>
      </w:pPr>
      <w:r w:rsidRPr="00E36DA9">
        <w:rPr>
          <w:lang w:val="es-PE"/>
        </w:rPr>
        <w:t>Temat scenariusza</w:t>
      </w:r>
    </w:p>
    <w:p w14:paraId="06CBFA21" w14:textId="56FBBC5F" w:rsidR="00222D47" w:rsidRPr="00E36DA9" w:rsidRDefault="00FE33F3" w:rsidP="00FE33F3">
      <w:pPr>
        <w:rPr>
          <w:szCs w:val="22"/>
          <w:lang w:val="es-PE"/>
        </w:rPr>
      </w:pPr>
      <w:r w:rsidRPr="00E36DA9">
        <w:rPr>
          <w:szCs w:val="22"/>
          <w:lang w:val="es-PE"/>
        </w:rPr>
        <w:t>Scenariusz prezentuje noworodka płci męskiej pochodzącego z pojedynczej niepowikłanej ciąży donoszonej zakończonej porodem drogą pochwową. Dziecko jest ospałe. Uczestnik szkolenia powinien natychmiast zacisnąć pępowinę i wykonać pierwsze czynności pod ogrzewaczem promiennikowym. Następnie powinien rozpoznać niskie tętno oraz słaby oddech i natychmiast rozpocząć wentylację ciśnieniem dodatnim (PPV).</w:t>
      </w:r>
    </w:p>
    <w:p w14:paraId="5A477211" w14:textId="4BF5903E" w:rsidR="0060770E" w:rsidRPr="00E36DA9" w:rsidRDefault="008D4ABD" w:rsidP="00204259">
      <w:pPr>
        <w:pStyle w:val="Ttulo2"/>
        <w:rPr>
          <w:lang w:val="es-PE"/>
        </w:rPr>
      </w:pPr>
      <w:r w:rsidRPr="00E36DA9">
        <w:rPr>
          <w:lang w:val="es-PE"/>
        </w:rPr>
        <w:t>Przebieg scenariusza</w:t>
      </w:r>
    </w:p>
    <w:p w14:paraId="01EFEB38" w14:textId="4D1CC03D" w:rsidR="00A12396" w:rsidRPr="00E36DA9" w:rsidRDefault="00A12396" w:rsidP="00A12396">
      <w:pPr>
        <w:rPr>
          <w:szCs w:val="22"/>
          <w:lang w:val="es-PE"/>
        </w:rPr>
      </w:pPr>
      <w:r w:rsidRPr="00E36DA9">
        <w:rPr>
          <w:szCs w:val="22"/>
          <w:lang w:val="es-PE"/>
        </w:rPr>
        <w:t xml:space="preserve">Symulacja rozpoczyna się natychmiast po porodzie. Podczas badania wstępnego chłopiec jest bezwładny, oddycha płytko i powoli oraz nie płacze. Tętno wynosi 76/min, a częstość oddechów – 5/min. Należy natychmiast zacisnąć pępowinę i przenieść noworodka pod ogrzewacz promiennikowy w celu przeprowadzenia wstępnych zabiegów. </w:t>
      </w:r>
    </w:p>
    <w:p w14:paraId="6C1F6C2D" w14:textId="1FA11DCF" w:rsidR="00A12396" w:rsidRPr="00760FE9" w:rsidRDefault="00753089" w:rsidP="00A12396">
      <w:pPr>
        <w:rPr>
          <w:szCs w:val="22"/>
          <w:lang w:val="es-PE"/>
        </w:rPr>
      </w:pPr>
      <w:r w:rsidRPr="00760FE9">
        <w:rPr>
          <w:szCs w:val="22"/>
          <w:lang w:val="es-PE"/>
        </w:rPr>
        <w:t>Odsysanie i osuszenie nie przynoszą efektu. Uczestnik powinien wezwać pomoc i natychmiast rozpocząć PPV. Po 15 sekundach ciągłej wentylacji tętno zaczyna rosnąć, a po upływie 30 sekund u noworodka pojawia się napięcie mięśni i zaczyna on chrząkać. W ciągu kolejnej minuty parametry życiowe się poprawią, a saturacja krwi tlenem zatrzyma się na poziomie 90% po 5 minutach.</w:t>
      </w:r>
    </w:p>
    <w:p w14:paraId="0C85FA55" w14:textId="0BA8F2D9" w:rsidR="00A12396" w:rsidRPr="00760FE9" w:rsidRDefault="00753089" w:rsidP="00A12396">
      <w:pPr>
        <w:rPr>
          <w:szCs w:val="22"/>
          <w:lang w:val="es-PE"/>
        </w:rPr>
      </w:pPr>
      <w:r w:rsidRPr="00760FE9">
        <w:rPr>
          <w:szCs w:val="22"/>
          <w:lang w:val="es-PE"/>
        </w:rPr>
        <w:t>Jeśli uczestnicy zatrzymają PPV nagle, stan dziecka przestanie się poprawiać i zacznie powoli się pogarszać do momentu wznowienia PPV.</w:t>
      </w:r>
    </w:p>
    <w:p w14:paraId="2314D580" w14:textId="686C206D" w:rsidR="00892FE0" w:rsidRPr="00760FE9" w:rsidRDefault="00892FE0" w:rsidP="00892FE0">
      <w:pPr>
        <w:rPr>
          <w:szCs w:val="22"/>
          <w:lang w:val="es-PE"/>
        </w:rPr>
      </w:pPr>
      <w:r w:rsidRPr="00760FE9">
        <w:rPr>
          <w:szCs w:val="22"/>
          <w:lang w:val="es-PE"/>
        </w:rPr>
        <w:t>W dowolnym momencie badania wstępnego instruktor może użyć zdarzenia „Brak leczenia na czas”, aby zasugerować uczestnikom konieczność interwencji. To zdarzenie zapoczątkuje trend spadkowy parametrów życiowych do momentu podjęcia właściwych interwencji.</w:t>
      </w:r>
    </w:p>
    <w:p w14:paraId="7DD57913" w14:textId="77777777" w:rsidR="00A12396" w:rsidRPr="00760FE9" w:rsidRDefault="00A12396" w:rsidP="00204259">
      <w:pPr>
        <w:pStyle w:val="Ttulo2"/>
        <w:rPr>
          <w:lang w:val="es-PE"/>
        </w:rPr>
      </w:pPr>
      <w:r w:rsidRPr="00760FE9">
        <w:rPr>
          <w:lang w:val="es-PE"/>
        </w:rPr>
        <w:t>Podsumowanie</w:t>
      </w:r>
    </w:p>
    <w:p w14:paraId="4A4A8C68" w14:textId="2FCEEA65" w:rsidR="00AD7579" w:rsidRPr="004E2E2C" w:rsidRDefault="00AD7579" w:rsidP="003C297F">
      <w:pPr>
        <w:rPr>
          <w:lang w:val="en-US"/>
        </w:rPr>
      </w:pPr>
      <w:r w:rsidRPr="00760FE9">
        <w:rPr>
          <w:lang w:val="es-PE"/>
        </w:rPr>
        <w:t xml:space="preserve">Po zakończeniu symulacji zalecane jest przeprowadzenie kierowanego przez moderatora podsumowania, by omówić tematy związane z celami nauczania. Sugerowane pytania podsumowujące zawiera Dziennik zdarzeń w aplikacji Session Viewer. </w:t>
      </w:r>
      <w:r>
        <w:rPr>
          <w:lang w:val="en-US"/>
        </w:rPr>
        <w:t>Główne punkty do omówienia mogą być następujące:</w:t>
      </w:r>
    </w:p>
    <w:p w14:paraId="62892362" w14:textId="622C4DED" w:rsidR="00222A21" w:rsidRPr="00167E46" w:rsidRDefault="00753089" w:rsidP="00204259">
      <w:pPr>
        <w:pStyle w:val="Prrafodelista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Objawy przedmiotowe i podmiotowe dziecka wymagającego wentylacji wspomaganej</w:t>
      </w:r>
    </w:p>
    <w:p w14:paraId="421F55DF" w14:textId="5DF9752A" w:rsidR="00222A21" w:rsidRPr="00167E46" w:rsidRDefault="00222A21" w:rsidP="00222A21">
      <w:pPr>
        <w:pStyle w:val="Prrafodelista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Różne metody wentylacji</w:t>
      </w:r>
    </w:p>
    <w:p w14:paraId="39A09E41" w14:textId="1179998C" w:rsidR="009A020E" w:rsidRPr="00167E46" w:rsidRDefault="00753089" w:rsidP="00204259">
      <w:pPr>
        <w:pStyle w:val="Prrafodelista"/>
        <w:numPr>
          <w:ilvl w:val="0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Wskazania i przeciwwskazania do intubacji dotchawiczej w tym przypadku</w:t>
      </w:r>
    </w:p>
    <w:p w14:paraId="5DC7C794" w14:textId="77777777" w:rsidR="00FE23D5" w:rsidRPr="00167E46" w:rsidRDefault="00FE23D5" w:rsidP="00FE23D5">
      <w:pPr>
        <w:rPr>
          <w:lang w:val="en-US"/>
        </w:rPr>
      </w:pPr>
    </w:p>
    <w:p w14:paraId="57695238" w14:textId="06B1604B" w:rsidR="00EC7F4C" w:rsidRPr="00167E46" w:rsidRDefault="00EC7F4C" w:rsidP="00204259">
      <w:pPr>
        <w:pStyle w:val="Ttulo2"/>
        <w:rPr>
          <w:lang w:val="en-US"/>
        </w:rPr>
      </w:pPr>
      <w:r>
        <w:rPr>
          <w:lang w:val="en-US"/>
        </w:rPr>
        <w:lastRenderedPageBreak/>
        <w:t>Odnośniki</w:t>
      </w:r>
    </w:p>
    <w:p w14:paraId="2EC65DEC" w14:textId="53ABA55A" w:rsidR="00EC7F4C" w:rsidRPr="004903F6" w:rsidRDefault="00EC7F4C" w:rsidP="00FB5701">
      <w:pPr>
        <w:rPr>
          <w:rFonts w:eastAsia="Calibri"/>
          <w:szCs w:val="22"/>
          <w:lang w:val="es-ES"/>
        </w:rPr>
      </w:pPr>
      <w:r w:rsidRPr="00167E46">
        <w:rPr>
          <w:szCs w:val="22"/>
          <w:lang w:val="en-US"/>
        </w:rPr>
        <w:t xml:space="preserve">Wyllie J., Perlman J.M., Kattwinkel J., Wyckoff M.H., Aziz K., Guinsburg R., Kim H.-S., Liley H.G., Mildenhall L., Simon W.M., Szyld E., Tamura M., Velaphi S. oraz Neonatal Resuscitation Chapter Collaborators. Part 7: Neonatal resuscitation: 2015 International Consensus on Cardiopulmonary Resuscitation and Emergency Cardiovascular Care Science </w:t>
      </w:r>
      <w:proofErr w:type="gramStart"/>
      <w:r w:rsidRPr="00167E46">
        <w:rPr>
          <w:szCs w:val="22"/>
          <w:lang w:val="en-US"/>
        </w:rPr>
        <w:t>With</w:t>
      </w:r>
      <w:proofErr w:type="gramEnd"/>
      <w:r w:rsidRPr="00167E46">
        <w:rPr>
          <w:szCs w:val="22"/>
          <w:lang w:val="en-US"/>
        </w:rPr>
        <w:t xml:space="preserve"> Treatment Recommendations. </w:t>
      </w:r>
      <w:r w:rsidRPr="004E2E2C">
        <w:rPr>
          <w:i/>
          <w:szCs w:val="22"/>
          <w:lang w:val="es-ES"/>
        </w:rPr>
        <w:t>Resuscitation</w:t>
      </w:r>
      <w:r w:rsidR="00FB5701" w:rsidRPr="004E2E2C">
        <w:rPr>
          <w:i/>
          <w:lang w:val="es-ES"/>
        </w:rPr>
        <w:t>,</w:t>
      </w:r>
      <w:r>
        <w:rPr>
          <w:szCs w:val="22"/>
          <w:lang w:val="es-ES"/>
        </w:rPr>
        <w:t xml:space="preserve"> 2015</w:t>
      </w:r>
      <w:proofErr w:type="gramStart"/>
      <w:r>
        <w:rPr>
          <w:szCs w:val="22"/>
          <w:lang w:val="es-ES"/>
        </w:rPr>
        <w:t>;95:e169</w:t>
      </w:r>
      <w:proofErr w:type="gramEnd"/>
      <w:r>
        <w:rPr>
          <w:szCs w:val="22"/>
          <w:lang w:val="es-ES"/>
        </w:rPr>
        <w:t xml:space="preserve">–e201. Dostęp: </w:t>
      </w:r>
      <w:hyperlink r:id="rId7" w:history="1">
        <w:r w:rsidRPr="004E2E2C">
          <w:rPr>
            <w:rStyle w:val="Hipervnculo"/>
            <w:szCs w:val="22"/>
            <w:lang w:val="es-ES"/>
          </w:rPr>
          <w:t>https://www.resuscitationjournal.com/article/S0300-9572(15)00366-4/fulltext</w:t>
        </w:r>
      </w:hyperlink>
      <w:r>
        <w:rPr>
          <w:szCs w:val="22"/>
          <w:lang w:val="es-ES"/>
        </w:rPr>
        <w:t xml:space="preserve"> </w:t>
      </w:r>
    </w:p>
    <w:p w14:paraId="5FBD34F5" w14:textId="7F385B99" w:rsidR="00204259" w:rsidRPr="00167E46" w:rsidRDefault="00204259" w:rsidP="00FE23D5">
      <w:pPr>
        <w:pStyle w:val="Ttulo1"/>
        <w:spacing w:before="240"/>
        <w:rPr>
          <w:lang w:val="en-US"/>
        </w:rPr>
      </w:pPr>
      <w:r>
        <w:rPr>
          <w:lang w:val="en-US"/>
        </w:rPr>
        <w:t>Konfiguracja i przygotowanie</w:t>
      </w:r>
    </w:p>
    <w:p w14:paraId="75928F3A" w14:textId="79542BF6" w:rsidR="007F54AA" w:rsidRPr="00167E46" w:rsidRDefault="006B6E9A" w:rsidP="00204259">
      <w:pPr>
        <w:pStyle w:val="Ttulo2"/>
        <w:rPr>
          <w:lang w:val="en-US"/>
        </w:rPr>
      </w:pPr>
      <w:r>
        <w:rPr>
          <w:lang w:val="en-US"/>
        </w:rPr>
        <w:t>Sprzęt</w:t>
      </w:r>
    </w:p>
    <w:p w14:paraId="128DAA59" w14:textId="77777777" w:rsidR="00387A50" w:rsidRPr="00167E46" w:rsidRDefault="00387A50" w:rsidP="00204259">
      <w:pPr>
        <w:pStyle w:val="Ttulo2"/>
        <w:rPr>
          <w:lang w:val="en-US"/>
        </w:rPr>
        <w:sectPr w:rsidR="00387A50" w:rsidRPr="00167E46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FCCC42A" w14:textId="77777777" w:rsidR="007F54AA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Czapeczka dla dziecka</w:t>
      </w:r>
    </w:p>
    <w:p w14:paraId="4D8E6310" w14:textId="77777777" w:rsidR="00387A50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Koce</w:t>
      </w:r>
    </w:p>
    <w:p w14:paraId="6A7B348D" w14:textId="3CB66907" w:rsidR="00387A50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Gruszka do czyszczenia nosa</w:t>
      </w:r>
    </w:p>
    <w:p w14:paraId="4331A6C9" w14:textId="0BB9C4A8" w:rsidR="002E3362" w:rsidRPr="00167E46" w:rsidRDefault="002E3362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Mieszalnik tlenu</w:t>
      </w:r>
    </w:p>
    <w:p w14:paraId="70BA11E2" w14:textId="3718782D" w:rsidR="002E3362" w:rsidRPr="00167E46" w:rsidRDefault="002E3362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Monitor pacjenta</w:t>
      </w:r>
    </w:p>
    <w:p w14:paraId="09FCE3C0" w14:textId="18C50E1A" w:rsidR="002E3362" w:rsidRPr="00167E46" w:rsidRDefault="002E3362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Pulsoksymetr</w:t>
      </w:r>
    </w:p>
    <w:p w14:paraId="61D12C0E" w14:textId="73066CFF" w:rsidR="00387A50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Ogrzewacz promiennikowy</w:t>
      </w:r>
    </w:p>
    <w:p w14:paraId="58907011" w14:textId="27BE675D" w:rsidR="00532BB8" w:rsidRPr="00167E46" w:rsidRDefault="00532BB8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lastRenderedPageBreak/>
        <w:t>Fragment symulowanej pępowiny</w:t>
      </w:r>
    </w:p>
    <w:p w14:paraId="3093FF30" w14:textId="77777777" w:rsidR="00387A50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Stetoskop</w:t>
      </w:r>
    </w:p>
    <w:p w14:paraId="38B18FB5" w14:textId="77777777" w:rsidR="00387A50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Tabela docelowego wysycenia tlenem</w:t>
      </w:r>
    </w:p>
    <w:p w14:paraId="0EE2E03C" w14:textId="77777777" w:rsidR="00387A50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Ręczniki</w:t>
      </w:r>
    </w:p>
    <w:p w14:paraId="30C10A3B" w14:textId="58129B6A" w:rsidR="00387A50" w:rsidRPr="00167E46" w:rsidRDefault="00387A50" w:rsidP="00387A50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Resuscytator z rurką T lub maska zwykła i</w:t>
      </w:r>
      <w:r w:rsidR="00E36DA9">
        <w:rPr>
          <w:szCs w:val="22"/>
          <w:lang w:val="en-US"/>
        </w:rPr>
        <w:t> </w:t>
      </w:r>
      <w:r>
        <w:rPr>
          <w:szCs w:val="22"/>
          <w:lang w:val="en-US"/>
        </w:rPr>
        <w:t>sprzęt do PPV</w:t>
      </w:r>
    </w:p>
    <w:p w14:paraId="6A8AE91C" w14:textId="768F2541" w:rsidR="00387A50" w:rsidRPr="00167E46" w:rsidRDefault="00387A50" w:rsidP="00C303BC">
      <w:pPr>
        <w:pStyle w:val="Prrafodelista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Zacisk na pępowinę</w:t>
      </w:r>
    </w:p>
    <w:p w14:paraId="352BD6F5" w14:textId="77777777" w:rsidR="00A444B8" w:rsidRPr="00167E46" w:rsidRDefault="00A444B8" w:rsidP="00A444B8">
      <w:pPr>
        <w:rPr>
          <w:szCs w:val="22"/>
          <w:lang w:val="en-US"/>
        </w:rPr>
        <w:sectPr w:rsidR="00A444B8" w:rsidRPr="00167E46" w:rsidSect="001E7EE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1B9254F3" w14:textId="02E9D678" w:rsidR="00B51020" w:rsidRPr="00167E46" w:rsidRDefault="00FB5701" w:rsidP="00204259">
      <w:pPr>
        <w:pStyle w:val="Ttulo2"/>
        <w:rPr>
          <w:lang w:val="en-US"/>
        </w:rPr>
      </w:pPr>
      <w:r>
        <w:rPr>
          <w:lang w:val="en-US"/>
        </w:rPr>
        <w:lastRenderedPageBreak/>
        <w:t>Przygotowanie przed symulacją</w:t>
      </w:r>
    </w:p>
    <w:p w14:paraId="57D1BF0D" w14:textId="424FAD5B" w:rsidR="00B51020" w:rsidRPr="00167E46" w:rsidRDefault="00B51020" w:rsidP="00501426">
      <w:pPr>
        <w:pStyle w:val="Prrafodelista"/>
        <w:numPr>
          <w:ilvl w:val="0"/>
          <w:numId w:val="8"/>
        </w:numPr>
        <w:rPr>
          <w:szCs w:val="22"/>
          <w:lang w:val="en-US"/>
        </w:rPr>
      </w:pPr>
      <w:r>
        <w:rPr>
          <w:szCs w:val="22"/>
          <w:lang w:val="en-US"/>
        </w:rPr>
        <w:t>Przygotuj pomieszczenie tak, by wyglądało jak normalna sala porodowa z przygotowanym sprzętem i</w:t>
      </w:r>
      <w:r w:rsidR="00E36DA9">
        <w:rPr>
          <w:szCs w:val="22"/>
          <w:lang w:val="en-US"/>
        </w:rPr>
        <w:t> </w:t>
      </w:r>
      <w:r>
        <w:rPr>
          <w:szCs w:val="22"/>
          <w:lang w:val="en-US"/>
        </w:rPr>
        <w:t>podłączonym ogrzewaczem promiennikowym.</w:t>
      </w:r>
    </w:p>
    <w:p w14:paraId="249B2839" w14:textId="77777777" w:rsidR="00B51020" w:rsidRPr="00167E46" w:rsidRDefault="00B51020" w:rsidP="00501426">
      <w:pPr>
        <w:pStyle w:val="Prrafodelista"/>
        <w:numPr>
          <w:ilvl w:val="0"/>
          <w:numId w:val="8"/>
        </w:numPr>
        <w:rPr>
          <w:szCs w:val="22"/>
          <w:lang w:val="en-US"/>
        </w:rPr>
      </w:pPr>
      <w:r>
        <w:rPr>
          <w:szCs w:val="22"/>
          <w:lang w:val="en-US"/>
        </w:rPr>
        <w:t>Wprowadź standardowy fragment pępowiny do brzucha SimNewB (bez zacisku).</w:t>
      </w:r>
    </w:p>
    <w:p w14:paraId="309AF644" w14:textId="70D5FF29" w:rsidR="00EC7F4C" w:rsidRPr="00167E46" w:rsidRDefault="00EC7F4C" w:rsidP="00204259">
      <w:pPr>
        <w:pStyle w:val="Ttulo2"/>
        <w:rPr>
          <w:lang w:val="en-US"/>
        </w:rPr>
      </w:pPr>
      <w:r>
        <w:rPr>
          <w:lang w:val="en-US"/>
        </w:rPr>
        <w:t>Zakres obowiązków uczestnika szkolenia</w:t>
      </w:r>
    </w:p>
    <w:p w14:paraId="43E660E6" w14:textId="77777777" w:rsidR="00EC7F4C" w:rsidRPr="00167E46" w:rsidRDefault="00EC7F4C" w:rsidP="00EC7F4C">
      <w:pPr>
        <w:rPr>
          <w:i/>
          <w:szCs w:val="22"/>
          <w:lang w:val="en-US"/>
        </w:rPr>
      </w:pPr>
      <w:r>
        <w:rPr>
          <w:i/>
          <w:szCs w:val="22"/>
          <w:lang w:val="en-US"/>
        </w:rPr>
        <w:t xml:space="preserve">Przed rozpoczęciem symulacji należy odczytać </w:t>
      </w:r>
      <w:proofErr w:type="gramStart"/>
      <w:r>
        <w:rPr>
          <w:i/>
          <w:szCs w:val="22"/>
          <w:lang w:val="en-US"/>
        </w:rPr>
        <w:t>na</w:t>
      </w:r>
      <w:proofErr w:type="gramEnd"/>
      <w:r>
        <w:rPr>
          <w:i/>
          <w:szCs w:val="22"/>
          <w:lang w:val="en-US"/>
        </w:rPr>
        <w:t xml:space="preserve"> głos uczestnikom szkolenia zakres ich obowiązków.</w:t>
      </w:r>
    </w:p>
    <w:p w14:paraId="0792102B" w14:textId="29DAF20D" w:rsidR="00EC7F4C" w:rsidRPr="004903F6" w:rsidRDefault="00EC7F4C" w:rsidP="00FE23D5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Właśnie asystowałaś/-łeś przy porodzie 42-letniej kobiety, która urodziła chłopca w terminie po </w:t>
      </w:r>
      <w:r w:rsidR="00E36DA9">
        <w:rPr>
          <w:rFonts w:eastAsia="Calibri"/>
          <w:lang w:val="en-US"/>
        </w:rPr>
        <w:br/>
      </w:r>
      <w:r>
        <w:rPr>
          <w:rFonts w:eastAsia="Calibri"/>
          <w:lang w:val="en-US"/>
        </w:rPr>
        <w:t>20-godzinnym porodzie o niestabilnym przebiegu. 2 godziny temu pękły błony płodowe, a potem bardzo nasiliły i wydłużyły się skurcze. Płyn owodniowy był przejrzysty. Tętno płodu lekko spadło podczas skurczów w ciągu ostatnich 20 minut przed narodzinami.</w:t>
      </w:r>
    </w:p>
    <w:p w14:paraId="7E4CA568" w14:textId="3D78EEB1" w:rsidR="00EC7F4C" w:rsidRPr="004903F6" w:rsidRDefault="00EC7F4C" w:rsidP="00FE23D5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Trzymasz dziecko </w:t>
      </w:r>
      <w:proofErr w:type="gramStart"/>
      <w:r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rękach i masz je wstępnie zbadać, zanim przekażesz je matce.</w:t>
      </w:r>
    </w:p>
    <w:p w14:paraId="0F82EE59" w14:textId="161874A4" w:rsidR="00EC7F4C" w:rsidRPr="004903F6" w:rsidRDefault="00EC7F4C" w:rsidP="00FE23D5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Przed rozpoczęciem symulacji zapoznaj się z salą porodową i dostępnym sprzętem. </w:t>
      </w:r>
    </w:p>
    <w:p w14:paraId="79157DB7" w14:textId="4884DBE7" w:rsidR="004F7564" w:rsidRPr="00167E46" w:rsidRDefault="004F7564" w:rsidP="001E7EEF">
      <w:pPr>
        <w:rPr>
          <w:szCs w:val="22"/>
          <w:lang w:val="en-US"/>
        </w:rPr>
      </w:pPr>
    </w:p>
    <w:p w14:paraId="176D583F" w14:textId="77777777" w:rsidR="00FB5701" w:rsidRPr="00167E46" w:rsidRDefault="00FB5701" w:rsidP="001E7EEF">
      <w:pPr>
        <w:rPr>
          <w:lang w:val="en-US"/>
        </w:rPr>
        <w:sectPr w:rsidR="00FB5701" w:rsidRPr="00167E46" w:rsidSect="001E7EE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7F08617" w14:textId="73F88700" w:rsidR="00681823" w:rsidRPr="00167E46" w:rsidRDefault="00AD7579" w:rsidP="00FE23D5">
      <w:pPr>
        <w:pStyle w:val="Ttulo1"/>
        <w:rPr>
          <w:lang w:val="en-US"/>
        </w:rPr>
      </w:pPr>
      <w:r>
        <w:rPr>
          <w:lang w:val="en-US"/>
        </w:rPr>
        <w:lastRenderedPageBreak/>
        <w:t>Adaptacja scenariusza</w:t>
      </w:r>
    </w:p>
    <w:p w14:paraId="71D88333" w14:textId="77777777" w:rsidR="00AD7579" w:rsidRPr="00167E46" w:rsidRDefault="00AD7579" w:rsidP="00AD7579">
      <w:pPr>
        <w:rPr>
          <w:lang w:val="en-US"/>
        </w:rPr>
      </w:pPr>
      <w:r>
        <w:rPr>
          <w:lang w:val="en-US"/>
        </w:rPr>
        <w:t xml:space="preserve">Ten scenariusz może być podstawą do tworzenia nowych scenariuszy z innymi lub dodatkowymi celami nauczania. Modyfikacja istniejącego scenariusza wymaga dokładnego przemyślenia, jakie czynności powinni zademonstrować uczestnicy szkolenia oraz jakie zmiany należy wprowadzić w celach nauczania, przebiegu scenariusza, programowaniu i materiałach dodatkowych. Jest to jednak szybki sposób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zwiększenie puli scenariuszy, ponieważ można wykorzystać ponownie wiele informacji o pacjencie oraz szereg elementów programowania scenariusza i materiałów dodatkowych.</w:t>
      </w:r>
    </w:p>
    <w:p w14:paraId="1EAE8F8F" w14:textId="77777777" w:rsidR="00FB5701" w:rsidRPr="00E36DA9" w:rsidRDefault="00FB5701" w:rsidP="00FB5701">
      <w:pPr>
        <w:rPr>
          <w:lang w:val="es-PE"/>
        </w:rPr>
      </w:pPr>
      <w:r w:rsidRPr="00E36DA9">
        <w:rPr>
          <w:lang w:val="es-PE"/>
        </w:rPr>
        <w:t>Dla inspiracji podajemy kilka proponowanych adaptacji tego scenariusza: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4F7564" w:rsidRPr="004903F6" w14:paraId="30319567" w14:textId="77777777" w:rsidTr="004903F6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B0779" w14:textId="1FFC2744" w:rsidR="004F7564" w:rsidRPr="004903F6" w:rsidRDefault="00FB5701" w:rsidP="004903F6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Nowe cele nauczania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A84B3" w14:textId="2E70A8F2" w:rsidR="004F7564" w:rsidRPr="004903F6" w:rsidRDefault="00FB5701" w:rsidP="004903F6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Zmiany w scenariuszu</w:t>
            </w:r>
          </w:p>
        </w:tc>
      </w:tr>
      <w:tr w:rsidR="004F7564" w:rsidRPr="004903F6" w14:paraId="7E0409E5" w14:textId="77777777" w:rsidTr="004903F6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7EC31" w14:textId="77777777" w:rsidR="004F7564" w:rsidRPr="004903F6" w:rsidRDefault="004F7564" w:rsidP="004903F6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Wierniejsza inscenizacja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D15BA" w14:textId="77777777" w:rsidR="004F7564" w:rsidRPr="004903F6" w:rsidRDefault="004F7564" w:rsidP="004903F6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Aby stworzyć bardziej realistyczne otoczenie, można dodać pewne elementy wyposażenia, </w:t>
            </w:r>
            <w:proofErr w:type="gramStart"/>
            <w:r>
              <w:rPr>
                <w:lang w:val="en-US"/>
              </w:rPr>
              <w:t>np.: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22C75936" w14:textId="77777777" w:rsidR="004F7564" w:rsidRPr="004903F6" w:rsidRDefault="004F7564" w:rsidP="004903F6">
            <w:pPr>
              <w:pStyle w:val="Prrafodelista"/>
              <w:numPr>
                <w:ilvl w:val="0"/>
                <w:numId w:val="5"/>
              </w:numPr>
              <w:spacing w:before="0"/>
              <w:rPr>
                <w:lang w:val="en-US"/>
              </w:rPr>
            </w:pPr>
            <w:r>
              <w:rPr>
                <w:lang w:val="en-US"/>
              </w:rPr>
              <w:t>Zakrwawione ręczniki</w:t>
            </w:r>
          </w:p>
          <w:p w14:paraId="54B641E2" w14:textId="77777777" w:rsidR="004F7564" w:rsidRPr="004903F6" w:rsidRDefault="004F7564" w:rsidP="004903F6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Rękawiczki</w:t>
            </w:r>
          </w:p>
          <w:p w14:paraId="6F0A7010" w14:textId="77777777" w:rsidR="004F7564" w:rsidRPr="004903F6" w:rsidRDefault="004F7564" w:rsidP="004903F6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Sztuczny płyn owodniowy </w:t>
            </w:r>
          </w:p>
          <w:p w14:paraId="7E7A0467" w14:textId="77777777" w:rsidR="004F7564" w:rsidRPr="004903F6" w:rsidRDefault="004F7564" w:rsidP="004903F6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Sztuczną krew</w:t>
            </w:r>
          </w:p>
          <w:p w14:paraId="0C4995C9" w14:textId="58B66E3D" w:rsidR="004F7564" w:rsidRPr="004903F6" w:rsidRDefault="004F7564" w:rsidP="004903F6">
            <w:pPr>
              <w:spacing w:before="0" w:after="120"/>
              <w:rPr>
                <w:lang w:val="en-US"/>
              </w:rPr>
            </w:pPr>
            <w:r>
              <w:rPr>
                <w:lang w:val="en-US"/>
              </w:rPr>
              <w:t>Można także włączyć rodzącą bądź krewną/krewnego (w tej roli standaryzowany pacjent lub jeden z uczestników). Tę osobę należy pouczyć, by udawała zdenerwowaną i czujną, ale nie zakłócała przebiegu symulacji.</w:t>
            </w:r>
          </w:p>
        </w:tc>
      </w:tr>
      <w:tr w:rsidR="006D1A21" w:rsidRPr="004903F6" w14:paraId="77FDB4C0" w14:textId="77777777" w:rsidTr="004903F6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11573" w14:textId="64514A24" w:rsidR="006D1A21" w:rsidRPr="00E36DA9" w:rsidRDefault="001A6E72" w:rsidP="004903F6">
            <w:pPr>
              <w:spacing w:before="0"/>
            </w:pPr>
            <w:r w:rsidRPr="00E36DA9">
              <w:t xml:space="preserve">Włączenie celów nauczania w zakresie szkolenia zespołowego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083D0" w14:textId="2C7CFC1D" w:rsidR="006D1A21" w:rsidRPr="00E36DA9" w:rsidRDefault="006D1A21" w:rsidP="00E36DA9">
            <w:pPr>
              <w:spacing w:before="0" w:after="120"/>
            </w:pPr>
            <w:r w:rsidRPr="00E36DA9">
              <w:t>Scenariusz może obejmować szkolenie zespołowe 2 uczestników. Należy dodać do wywiadu pacjentki czynniki ryzyka, np. zmianę płynu owodniowego z przejrzystego na zabarwiony smółką, co było widoczne w</w:t>
            </w:r>
            <w:r w:rsidR="00E36DA9">
              <w:t> </w:t>
            </w:r>
            <w:r w:rsidRPr="00E36DA9">
              <w:t>chwili pęknięcia błon płodowych. Należy odpowiednio zmienić Zakres obowiązków uczestnika szkolenia i dodać wymagane zdarzenia w celu rejestracji działań zespołu.</w:t>
            </w:r>
          </w:p>
        </w:tc>
      </w:tr>
      <w:tr w:rsidR="006D1A21" w:rsidRPr="004903F6" w14:paraId="3D1B7362" w14:textId="77777777" w:rsidTr="004903F6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C230F" w14:textId="1D963C0B" w:rsidR="006D1A21" w:rsidRPr="00E36DA9" w:rsidRDefault="001A6E72" w:rsidP="004903F6">
            <w:pPr>
              <w:spacing w:before="0"/>
            </w:pPr>
            <w:r w:rsidRPr="00E36DA9">
              <w:t>Włączenie celów nauczania w zakresie komunikacji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9D348" w14:textId="3125EABA" w:rsidR="006D1A21" w:rsidRPr="00E36DA9" w:rsidRDefault="006D1A21" w:rsidP="004903F6">
            <w:pPr>
              <w:spacing w:before="0" w:after="120"/>
            </w:pPr>
            <w:r w:rsidRPr="00E36DA9">
              <w:t>Jeśli szkolenie ma uczyć komunikacji z krewnymi podczas resuscytacji, można dodać standardowego pacjenta lub jednego z uczestników w roli krewnego zadającego pytania podczas symulacji. Należy dodać potrzebne informacje do Zakresu obowiązków uczestnika szkolenia oraz wymagane zdarzenia w celu rejestracji działań komunikacyjnych.</w:t>
            </w:r>
          </w:p>
        </w:tc>
      </w:tr>
      <w:tr w:rsidR="006D1A21" w:rsidRPr="004903F6" w14:paraId="6CB39BA7" w14:textId="77777777" w:rsidTr="004903F6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612644C0" w14:textId="0DE2F44D" w:rsidR="006D1A21" w:rsidRPr="00E36DA9" w:rsidRDefault="001A6E72" w:rsidP="004903F6">
            <w:pPr>
              <w:spacing w:before="0"/>
            </w:pPr>
            <w:r w:rsidRPr="00E36DA9">
              <w:t>Włączenie celów nauczania w zakresie przygotowania do porodu</w:t>
            </w:r>
          </w:p>
        </w:tc>
        <w:tc>
          <w:tcPr>
            <w:tcW w:w="7081" w:type="dxa"/>
            <w:tcBorders>
              <w:left w:val="nil"/>
              <w:right w:val="nil"/>
            </w:tcBorders>
            <w:shd w:val="clear" w:color="auto" w:fill="auto"/>
          </w:tcPr>
          <w:p w14:paraId="142864E7" w14:textId="59CD4AEC" w:rsidR="006D1A21" w:rsidRPr="00E36DA9" w:rsidRDefault="00FB5701" w:rsidP="00E36DA9">
            <w:pPr>
              <w:spacing w:before="0" w:after="120"/>
            </w:pPr>
            <w:r w:rsidRPr="00E36DA9">
              <w:t>Jeśli szkolenie ma uczyć przygotowania do porodu, można dodać przed porodem dodatkowy czas na to, by uczestnicy zdobyli niezbędne informacje, przewidzieli czynniki ryzyka, przeszkolili dodatkowych członków zespołu (w</w:t>
            </w:r>
            <w:r w:rsidR="00E36DA9">
              <w:t> </w:t>
            </w:r>
            <w:r w:rsidRPr="00E36DA9">
              <w:t>razie potrzeby) oraz sprawdzili sprzęt. Należy odpowiednio zmienić Zakres obowiązków uczestnika szkolenia, dodając stan przed porodem wraz z</w:t>
            </w:r>
            <w:r w:rsidR="00E36DA9">
              <w:t> </w:t>
            </w:r>
            <w:r w:rsidRPr="00E36DA9">
              <w:t>wymaganymi zdarzeniami przygotowawczymi.</w:t>
            </w:r>
          </w:p>
        </w:tc>
      </w:tr>
    </w:tbl>
    <w:p w14:paraId="376139BB" w14:textId="0D8EE949" w:rsidR="00681823" w:rsidRPr="00E36DA9" w:rsidRDefault="00681823" w:rsidP="001E7EEF">
      <w:pPr>
        <w:rPr>
          <w:sz w:val="20"/>
        </w:rPr>
      </w:pPr>
    </w:p>
    <w:sectPr w:rsidR="00681823" w:rsidRPr="00E36DA9" w:rsidSect="00FB57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FE45" w14:textId="77777777" w:rsidR="00EA3CBD" w:rsidRDefault="00EA3CBD" w:rsidP="007F54AA">
      <w:r>
        <w:separator/>
      </w:r>
    </w:p>
  </w:endnote>
  <w:endnote w:type="continuationSeparator" w:id="0">
    <w:p w14:paraId="1E854D90" w14:textId="77777777" w:rsidR="00EA3CBD" w:rsidRDefault="00EA3CBD" w:rsidP="007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79AA" w14:textId="60FDFD16" w:rsidR="00337F2D" w:rsidRPr="00ED5913" w:rsidRDefault="00337F2D" w:rsidP="00337F2D">
    <w:pPr>
      <w:pStyle w:val="Piedepgina"/>
    </w:pPr>
    <w:r>
      <w:rPr>
        <w:color w:val="808080"/>
      </w:rPr>
      <w:t>Wersja 1.0, sierpień 2018</w:t>
    </w:r>
    <w:r>
      <w:tab/>
    </w:r>
    <w:r>
      <w:tab/>
    </w:r>
    <w:r>
      <w:rPr>
        <w:color w:val="808080"/>
      </w:rPr>
      <w:t xml:space="preserve">Strona </w:t>
    </w:r>
    <w:r w:rsidRPr="004903F6">
      <w:rPr>
        <w:color w:val="808080"/>
        <w:szCs w:val="22"/>
      </w:rPr>
      <w:fldChar w:fldCharType="begin"/>
    </w:r>
    <w:r w:rsidRPr="004903F6">
      <w:rPr>
        <w:color w:val="808080"/>
      </w:rPr>
      <w:instrText xml:space="preserve"> PAGE </w:instrText>
    </w:r>
    <w:r w:rsidRPr="004903F6">
      <w:rPr>
        <w:color w:val="808080"/>
        <w:szCs w:val="22"/>
      </w:rPr>
      <w:fldChar w:fldCharType="separate"/>
    </w:r>
    <w:r w:rsidR="00D4169B">
      <w:rPr>
        <w:noProof/>
        <w:color w:val="808080"/>
      </w:rPr>
      <w:t>2</w:t>
    </w:r>
    <w:r w:rsidRPr="004903F6">
      <w:rPr>
        <w:color w:val="808080"/>
        <w:szCs w:val="22"/>
      </w:rPr>
      <w:fldChar w:fldCharType="end"/>
    </w:r>
    <w:r>
      <w:rPr>
        <w:color w:val="808080"/>
      </w:rPr>
      <w:t xml:space="preserve"> z </w:t>
    </w:r>
    <w:r w:rsidRPr="004903F6">
      <w:rPr>
        <w:color w:val="808080"/>
        <w:szCs w:val="22"/>
      </w:rPr>
      <w:fldChar w:fldCharType="begin"/>
    </w:r>
    <w:r w:rsidRPr="004903F6">
      <w:rPr>
        <w:color w:val="808080"/>
      </w:rPr>
      <w:instrText xml:space="preserve"> NUMPAGES  </w:instrText>
    </w:r>
    <w:r w:rsidRPr="004903F6">
      <w:rPr>
        <w:color w:val="808080"/>
        <w:szCs w:val="22"/>
      </w:rPr>
      <w:fldChar w:fldCharType="separate"/>
    </w:r>
    <w:r w:rsidR="00D4169B">
      <w:rPr>
        <w:noProof/>
        <w:color w:val="808080"/>
      </w:rPr>
      <w:t>3</w:t>
    </w:r>
    <w:r w:rsidRPr="004903F6">
      <w:rPr>
        <w:color w:val="808080"/>
        <w:szCs w:val="22"/>
      </w:rPr>
      <w:fldChar w:fldCharType="end"/>
    </w:r>
  </w:p>
  <w:p w14:paraId="727029D2" w14:textId="43ACBE47" w:rsidR="009408D9" w:rsidRPr="00337F2D" w:rsidRDefault="009408D9" w:rsidP="00337F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73762" w14:textId="77777777" w:rsidR="00EA3CBD" w:rsidRDefault="00EA3CBD" w:rsidP="007F54AA">
      <w:r>
        <w:separator/>
      </w:r>
    </w:p>
  </w:footnote>
  <w:footnote w:type="continuationSeparator" w:id="0">
    <w:p w14:paraId="5BB8F1E0" w14:textId="77777777" w:rsidR="00EA3CBD" w:rsidRDefault="00EA3CBD" w:rsidP="007F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DCCF" w14:textId="01D9A75E" w:rsidR="009408D9" w:rsidRPr="004903F6" w:rsidRDefault="009408D9" w:rsidP="009408D9">
    <w:pPr>
      <w:pStyle w:val="Encabezado"/>
      <w:jc w:val="right"/>
      <w:rPr>
        <w:b/>
        <w:color w:val="808080"/>
        <w:lang w:val="en-US"/>
      </w:rPr>
    </w:pPr>
    <w:r>
      <w:rPr>
        <w:color w:val="808080"/>
        <w:lang w:val="en-US"/>
      </w:rPr>
      <w:t xml:space="preserve">Scenariusze symulatora SimNewB </w:t>
    </w:r>
    <w:r w:rsidRPr="004903F6">
      <w:rPr>
        <w:rFonts w:cs="Calibri"/>
        <w:color w:val="808080"/>
        <w:lang w:val="en-US"/>
      </w:rPr>
      <w:t>•</w:t>
    </w:r>
    <w:r>
      <w:rPr>
        <w:color w:val="808080"/>
        <w:lang w:val="en-US"/>
      </w:rPr>
      <w:t xml:space="preserve"> Noworodek wymagający PPV</w:t>
    </w:r>
  </w:p>
  <w:p w14:paraId="2E88AFC5" w14:textId="77777777" w:rsidR="009408D9" w:rsidRPr="00574C6C" w:rsidRDefault="009408D9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4A8B"/>
    <w:multiLevelType w:val="hybridMultilevel"/>
    <w:tmpl w:val="D5DCE2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12D10"/>
    <w:multiLevelType w:val="hybridMultilevel"/>
    <w:tmpl w:val="14D0C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11CA8"/>
    <w:multiLevelType w:val="hybridMultilevel"/>
    <w:tmpl w:val="3B84C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95E3C"/>
    <w:multiLevelType w:val="hybridMultilevel"/>
    <w:tmpl w:val="B768C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063EEE"/>
    <w:multiLevelType w:val="hybridMultilevel"/>
    <w:tmpl w:val="6E10B6E2"/>
    <w:lvl w:ilvl="0" w:tplc="51405B7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57C94"/>
    <w:multiLevelType w:val="hybridMultilevel"/>
    <w:tmpl w:val="A5460BE6"/>
    <w:lvl w:ilvl="0" w:tplc="59CC6C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removePersonalInformation/>
  <w:removeDateAndTime/>
  <w:proofState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AF"/>
    <w:rsid w:val="00001C7E"/>
    <w:rsid w:val="00051CE6"/>
    <w:rsid w:val="00056C9A"/>
    <w:rsid w:val="00071D4D"/>
    <w:rsid w:val="000A6596"/>
    <w:rsid w:val="000B4857"/>
    <w:rsid w:val="000D42E9"/>
    <w:rsid w:val="000F0ED8"/>
    <w:rsid w:val="00134D05"/>
    <w:rsid w:val="00141D30"/>
    <w:rsid w:val="001530DB"/>
    <w:rsid w:val="00166995"/>
    <w:rsid w:val="00167E46"/>
    <w:rsid w:val="00174D7E"/>
    <w:rsid w:val="00180016"/>
    <w:rsid w:val="001A6E72"/>
    <w:rsid w:val="001E25A6"/>
    <w:rsid w:val="001E7EEF"/>
    <w:rsid w:val="001F5EB9"/>
    <w:rsid w:val="00204259"/>
    <w:rsid w:val="00222A21"/>
    <w:rsid w:val="00222D47"/>
    <w:rsid w:val="0025168B"/>
    <w:rsid w:val="00261F7C"/>
    <w:rsid w:val="00270BA8"/>
    <w:rsid w:val="0027229F"/>
    <w:rsid w:val="00272345"/>
    <w:rsid w:val="002A268C"/>
    <w:rsid w:val="002A7252"/>
    <w:rsid w:val="002B362D"/>
    <w:rsid w:val="002C57C4"/>
    <w:rsid w:val="002E3362"/>
    <w:rsid w:val="00310900"/>
    <w:rsid w:val="00337F2D"/>
    <w:rsid w:val="003448F0"/>
    <w:rsid w:val="00351B03"/>
    <w:rsid w:val="00361F4F"/>
    <w:rsid w:val="00370740"/>
    <w:rsid w:val="003833D9"/>
    <w:rsid w:val="00387A50"/>
    <w:rsid w:val="003C297F"/>
    <w:rsid w:val="003E03C7"/>
    <w:rsid w:val="003F0F0F"/>
    <w:rsid w:val="003F7E56"/>
    <w:rsid w:val="00401B93"/>
    <w:rsid w:val="00430170"/>
    <w:rsid w:val="00471C36"/>
    <w:rsid w:val="00487443"/>
    <w:rsid w:val="004903F6"/>
    <w:rsid w:val="004A653F"/>
    <w:rsid w:val="004C0115"/>
    <w:rsid w:val="004D4DF0"/>
    <w:rsid w:val="004E12AB"/>
    <w:rsid w:val="004E2E2C"/>
    <w:rsid w:val="004F7564"/>
    <w:rsid w:val="00501426"/>
    <w:rsid w:val="005217FF"/>
    <w:rsid w:val="0052281B"/>
    <w:rsid w:val="00532BB8"/>
    <w:rsid w:val="00540B78"/>
    <w:rsid w:val="005577A1"/>
    <w:rsid w:val="005674CA"/>
    <w:rsid w:val="00574B93"/>
    <w:rsid w:val="00574C6C"/>
    <w:rsid w:val="005A5EC3"/>
    <w:rsid w:val="005F5041"/>
    <w:rsid w:val="0060024E"/>
    <w:rsid w:val="0060770E"/>
    <w:rsid w:val="00621742"/>
    <w:rsid w:val="00630F7D"/>
    <w:rsid w:val="006374DD"/>
    <w:rsid w:val="00673F97"/>
    <w:rsid w:val="00681823"/>
    <w:rsid w:val="006B6E9A"/>
    <w:rsid w:val="006D1A21"/>
    <w:rsid w:val="00725FF2"/>
    <w:rsid w:val="00750064"/>
    <w:rsid w:val="00753089"/>
    <w:rsid w:val="00760FE9"/>
    <w:rsid w:val="007B1007"/>
    <w:rsid w:val="007C1552"/>
    <w:rsid w:val="007E4574"/>
    <w:rsid w:val="007E5F62"/>
    <w:rsid w:val="007F54AA"/>
    <w:rsid w:val="007F78FF"/>
    <w:rsid w:val="00870956"/>
    <w:rsid w:val="00876222"/>
    <w:rsid w:val="00892FE0"/>
    <w:rsid w:val="008D4ABD"/>
    <w:rsid w:val="008E45D1"/>
    <w:rsid w:val="008F2041"/>
    <w:rsid w:val="00911335"/>
    <w:rsid w:val="009408D9"/>
    <w:rsid w:val="009511A8"/>
    <w:rsid w:val="00951726"/>
    <w:rsid w:val="00972499"/>
    <w:rsid w:val="009927AE"/>
    <w:rsid w:val="009A020E"/>
    <w:rsid w:val="009D07E8"/>
    <w:rsid w:val="009D1D6E"/>
    <w:rsid w:val="009E14E1"/>
    <w:rsid w:val="009F5B6D"/>
    <w:rsid w:val="00A11E5D"/>
    <w:rsid w:val="00A12396"/>
    <w:rsid w:val="00A444B8"/>
    <w:rsid w:val="00A91DAB"/>
    <w:rsid w:val="00AC7E73"/>
    <w:rsid w:val="00AD7579"/>
    <w:rsid w:val="00AF4FF2"/>
    <w:rsid w:val="00B04043"/>
    <w:rsid w:val="00B14881"/>
    <w:rsid w:val="00B24CD1"/>
    <w:rsid w:val="00B51020"/>
    <w:rsid w:val="00B67B11"/>
    <w:rsid w:val="00BF1E07"/>
    <w:rsid w:val="00C22082"/>
    <w:rsid w:val="00C303BC"/>
    <w:rsid w:val="00C45EC4"/>
    <w:rsid w:val="00C647AF"/>
    <w:rsid w:val="00C65F15"/>
    <w:rsid w:val="00C67941"/>
    <w:rsid w:val="00C86C53"/>
    <w:rsid w:val="00C90E90"/>
    <w:rsid w:val="00CB547B"/>
    <w:rsid w:val="00D00393"/>
    <w:rsid w:val="00D06E7E"/>
    <w:rsid w:val="00D17E88"/>
    <w:rsid w:val="00D25A92"/>
    <w:rsid w:val="00D4169B"/>
    <w:rsid w:val="00D57A74"/>
    <w:rsid w:val="00DA1F70"/>
    <w:rsid w:val="00DC760A"/>
    <w:rsid w:val="00DF4B03"/>
    <w:rsid w:val="00E0275B"/>
    <w:rsid w:val="00E221FF"/>
    <w:rsid w:val="00E30057"/>
    <w:rsid w:val="00E36DA9"/>
    <w:rsid w:val="00E423E3"/>
    <w:rsid w:val="00E42DAD"/>
    <w:rsid w:val="00E672CD"/>
    <w:rsid w:val="00E801B4"/>
    <w:rsid w:val="00E84AF4"/>
    <w:rsid w:val="00E84D0D"/>
    <w:rsid w:val="00EA3CBD"/>
    <w:rsid w:val="00EB2B46"/>
    <w:rsid w:val="00EC7F4C"/>
    <w:rsid w:val="00F02A8C"/>
    <w:rsid w:val="00F10360"/>
    <w:rsid w:val="00F51DDE"/>
    <w:rsid w:val="00F81E0E"/>
    <w:rsid w:val="00F9152C"/>
    <w:rsid w:val="00FB1CF9"/>
    <w:rsid w:val="00FB5701"/>
    <w:rsid w:val="00FC625B"/>
    <w:rsid w:val="00FE23D5"/>
    <w:rsid w:val="00FE33F3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D9"/>
    <w:pPr>
      <w:spacing w:before="120"/>
    </w:pPr>
    <w:rPr>
      <w:sz w:val="22"/>
      <w:lang w:val="da-DK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08D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08D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00"/>
      <w:outlineLvl w:val="1"/>
    </w:pPr>
    <w:rPr>
      <w:caps/>
      <w:spacing w:val="15"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08D9"/>
    <w:pPr>
      <w:outlineLvl w:val="2"/>
    </w:pPr>
    <w:rPr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08D9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8D9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08D9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08D9"/>
    <w:pPr>
      <w:spacing w:before="200"/>
      <w:outlineLvl w:val="6"/>
    </w:pPr>
    <w:rPr>
      <w:caps/>
      <w:color w:val="2E74B5"/>
      <w:spacing w:val="10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08D9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08D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8D9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9408D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tulo2Car">
    <w:name w:val="Título 2 Car"/>
    <w:link w:val="Ttulo2"/>
    <w:uiPriority w:val="9"/>
    <w:rsid w:val="009408D9"/>
    <w:rPr>
      <w:caps/>
      <w:spacing w:val="15"/>
      <w:shd w:val="clear" w:color="auto" w:fill="DEEAF6"/>
    </w:rPr>
  </w:style>
  <w:style w:type="paragraph" w:styleId="Encabezado">
    <w:name w:val="header"/>
    <w:basedOn w:val="Normal"/>
    <w:link w:val="Encabezado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7F54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rsid w:val="007F54AA"/>
    <w:rPr>
      <w:lang w:val="en-US"/>
    </w:rPr>
  </w:style>
  <w:style w:type="character" w:styleId="Refdecomentario">
    <w:name w:val="annotation reference"/>
    <w:uiPriority w:val="99"/>
    <w:semiHidden/>
    <w:unhideWhenUsed/>
    <w:rsid w:val="00370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74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7074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74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74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7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70740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uiPriority w:val="99"/>
    <w:unhideWhenUsed/>
    <w:rsid w:val="00EC7F4C"/>
    <w:rPr>
      <w:color w:val="0563C1"/>
      <w:u w:val="single"/>
    </w:rPr>
  </w:style>
  <w:style w:type="character" w:customStyle="1" w:styleId="Ttulo3Car">
    <w:name w:val="Título 3 Car"/>
    <w:link w:val="Ttulo3"/>
    <w:uiPriority w:val="9"/>
    <w:rsid w:val="009408D9"/>
    <w:rPr>
      <w:color w:val="1F4D78"/>
      <w:spacing w:val="15"/>
      <w:sz w:val="22"/>
    </w:rPr>
  </w:style>
  <w:style w:type="table" w:styleId="Tablaconcuadrcula">
    <w:name w:val="Table Grid"/>
    <w:basedOn w:val="Tablanormal"/>
    <w:uiPriority w:val="39"/>
    <w:rsid w:val="006D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F1E07"/>
    <w:rPr>
      <w:color w:val="954F72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9408D9"/>
    <w:pPr>
      <w:spacing w:before="0"/>
    </w:pPr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PuestoCar">
    <w:name w:val="Puesto Car"/>
    <w:link w:val="Puesto"/>
    <w:uiPriority w:val="10"/>
    <w:rsid w:val="009408D9"/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Ttulo4Car">
    <w:name w:val="Título 4 Car"/>
    <w:link w:val="Ttulo4"/>
    <w:uiPriority w:val="9"/>
    <w:semiHidden/>
    <w:rsid w:val="009408D9"/>
    <w:rPr>
      <w:caps/>
      <w:color w:val="2E74B5"/>
      <w:spacing w:val="10"/>
    </w:rPr>
  </w:style>
  <w:style w:type="character" w:customStyle="1" w:styleId="Ttulo5Car">
    <w:name w:val="Título 5 Car"/>
    <w:link w:val="Ttulo5"/>
    <w:uiPriority w:val="9"/>
    <w:semiHidden/>
    <w:rsid w:val="009408D9"/>
    <w:rPr>
      <w:caps/>
      <w:color w:val="2E74B5"/>
      <w:spacing w:val="10"/>
    </w:rPr>
  </w:style>
  <w:style w:type="character" w:customStyle="1" w:styleId="Ttulo6Car">
    <w:name w:val="Título 6 Car"/>
    <w:link w:val="Ttulo6"/>
    <w:uiPriority w:val="9"/>
    <w:semiHidden/>
    <w:rsid w:val="009408D9"/>
    <w:rPr>
      <w:caps/>
      <w:color w:val="2E74B5"/>
      <w:spacing w:val="10"/>
    </w:rPr>
  </w:style>
  <w:style w:type="character" w:customStyle="1" w:styleId="Ttulo7Car">
    <w:name w:val="Título 7 Car"/>
    <w:link w:val="Ttulo7"/>
    <w:uiPriority w:val="9"/>
    <w:semiHidden/>
    <w:rsid w:val="009408D9"/>
    <w:rPr>
      <w:caps/>
      <w:color w:val="2E74B5"/>
      <w:spacing w:val="10"/>
    </w:rPr>
  </w:style>
  <w:style w:type="character" w:customStyle="1" w:styleId="Ttulo8Car">
    <w:name w:val="Título 8 Car"/>
    <w:link w:val="Ttulo8"/>
    <w:uiPriority w:val="9"/>
    <w:semiHidden/>
    <w:rsid w:val="009408D9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9408D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08D9"/>
    <w:rPr>
      <w:b/>
      <w:bCs/>
      <w:color w:val="2E74B5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08D9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rsid w:val="009408D9"/>
    <w:rPr>
      <w:caps/>
      <w:color w:val="595959"/>
      <w:spacing w:val="10"/>
      <w:sz w:val="21"/>
      <w:szCs w:val="21"/>
    </w:rPr>
  </w:style>
  <w:style w:type="character" w:styleId="Textoennegrita">
    <w:name w:val="Strong"/>
    <w:uiPriority w:val="22"/>
    <w:qFormat/>
    <w:rsid w:val="009408D9"/>
    <w:rPr>
      <w:b/>
      <w:bCs/>
    </w:rPr>
  </w:style>
  <w:style w:type="character" w:styleId="nfasis">
    <w:name w:val="Emphasis"/>
    <w:uiPriority w:val="20"/>
    <w:qFormat/>
    <w:rsid w:val="009408D9"/>
    <w:rPr>
      <w:caps/>
      <w:color w:val="1F4D78"/>
      <w:spacing w:val="5"/>
    </w:rPr>
  </w:style>
  <w:style w:type="paragraph" w:styleId="Sinespaciado">
    <w:name w:val="No Spacing"/>
    <w:uiPriority w:val="1"/>
    <w:qFormat/>
    <w:rsid w:val="009408D9"/>
    <w:rPr>
      <w:sz w:val="22"/>
      <w:lang w:val="da-DK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9408D9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9408D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08D9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9408D9"/>
    <w:rPr>
      <w:color w:val="5B9BD5"/>
      <w:sz w:val="24"/>
      <w:szCs w:val="24"/>
    </w:rPr>
  </w:style>
  <w:style w:type="character" w:styleId="nfasissutil">
    <w:name w:val="Subtle Emphasis"/>
    <w:uiPriority w:val="19"/>
    <w:qFormat/>
    <w:rsid w:val="009408D9"/>
    <w:rPr>
      <w:i/>
      <w:iCs/>
      <w:color w:val="1F4D78"/>
    </w:rPr>
  </w:style>
  <w:style w:type="character" w:styleId="nfasisintenso">
    <w:name w:val="Intense Emphasis"/>
    <w:uiPriority w:val="21"/>
    <w:qFormat/>
    <w:rsid w:val="009408D9"/>
    <w:rPr>
      <w:b/>
      <w:bCs/>
      <w:caps/>
      <w:color w:val="1F4D78"/>
      <w:spacing w:val="10"/>
    </w:rPr>
  </w:style>
  <w:style w:type="character" w:styleId="Referenciasutil">
    <w:name w:val="Subtle Reference"/>
    <w:uiPriority w:val="31"/>
    <w:qFormat/>
    <w:rsid w:val="009408D9"/>
    <w:rPr>
      <w:b/>
      <w:bCs/>
      <w:color w:val="5B9BD5"/>
    </w:rPr>
  </w:style>
  <w:style w:type="character" w:styleId="Referenciaintensa">
    <w:name w:val="Intense Reference"/>
    <w:uiPriority w:val="32"/>
    <w:qFormat/>
    <w:rsid w:val="009408D9"/>
    <w:rPr>
      <w:b/>
      <w:bCs/>
      <w:i/>
      <w:iCs/>
      <w:caps/>
      <w:color w:val="5B9BD5"/>
    </w:rPr>
  </w:style>
  <w:style w:type="character" w:styleId="Ttulodellibro">
    <w:name w:val="Book Title"/>
    <w:uiPriority w:val="33"/>
    <w:qFormat/>
    <w:rsid w:val="009408D9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08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uscitationjournal.com/article/S0300-9572(15)00366-4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2018-07-17T21:17:00Z</dcterms:created>
  <dcterms:modified xsi:type="dcterms:W3CDTF">2018-09-18T18:34:00Z</dcterms:modified>
</cp:coreProperties>
</file>